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F3" w:rsidRPr="003222C5" w:rsidRDefault="007169F3" w:rsidP="007169F3">
      <w:pPr>
        <w:pStyle w:val="Heading2"/>
        <w:rPr>
          <w:sz w:val="20"/>
        </w:rPr>
      </w:pPr>
      <w:bookmarkStart w:id="0" w:name="_Toc350354448"/>
      <w:r w:rsidRPr="001462F3">
        <w:t xml:space="preserve">Gátlistar og flæðirit fyrir </w:t>
      </w:r>
      <w:r w:rsidRPr="000819A4">
        <w:t>mismunandi</w:t>
      </w:r>
      <w:r w:rsidRPr="001462F3">
        <w:t xml:space="preserve"> rannsóknarsnið</w:t>
      </w:r>
      <w:bookmarkEnd w:id="0"/>
      <w:r w:rsidRPr="001462F3">
        <w:t xml:space="preserve"> </w:t>
      </w:r>
    </w:p>
    <w:p w:rsidR="007169F3" w:rsidRPr="001462F3" w:rsidRDefault="007169F3" w:rsidP="007169F3">
      <w:pPr>
        <w:pStyle w:val="Heading3"/>
      </w:pPr>
      <w:bookmarkStart w:id="1" w:name="_Toc350354449"/>
      <w:r w:rsidRPr="001462F3">
        <w:t>CONSORT</w:t>
      </w:r>
      <w:bookmarkEnd w:id="1"/>
    </w:p>
    <w:p w:rsidR="007169F3" w:rsidRPr="001462F3" w:rsidRDefault="007169F3" w:rsidP="0071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Flæðirit frá CONSORT hópnum (</w:t>
      </w:r>
      <w:r w:rsidRPr="001462F3">
        <w:rPr>
          <w:rFonts w:ascii="Times New Roman" w:hAnsi="Times New Roman"/>
          <w:bCs/>
          <w:i/>
          <w:sz w:val="20"/>
          <w:szCs w:val="24"/>
        </w:rPr>
        <w:t>Consolidated Standards of Reporting Trials</w:t>
      </w:r>
      <w:r w:rsidRPr="001462F3">
        <w:rPr>
          <w:rFonts w:ascii="Times New Roman" w:hAnsi="Times New Roman"/>
          <w:bCs/>
          <w:sz w:val="20"/>
          <w:szCs w:val="24"/>
        </w:rPr>
        <w:t>) fyrir slembaðar samanburðarrannsóknir (</w:t>
      </w:r>
      <w:r w:rsidRPr="001462F3">
        <w:rPr>
          <w:rFonts w:ascii="Times New Roman" w:hAnsi="Times New Roman"/>
          <w:bCs/>
          <w:i/>
          <w:sz w:val="20"/>
          <w:szCs w:val="24"/>
        </w:rPr>
        <w:t>randomized controlled trials</w:t>
      </w:r>
      <w:r w:rsidRPr="001462F3">
        <w:rPr>
          <w:rFonts w:ascii="Times New Roman" w:hAnsi="Times New Roman"/>
          <w:bCs/>
          <w:sz w:val="20"/>
          <w:szCs w:val="24"/>
        </w:rPr>
        <w:t>) á meðferð án lyfja (</w:t>
      </w:r>
      <w:r w:rsidRPr="001462F3">
        <w:rPr>
          <w:rFonts w:ascii="Times New Roman" w:hAnsi="Times New Roman"/>
          <w:bCs/>
          <w:i/>
          <w:sz w:val="20"/>
          <w:szCs w:val="24"/>
        </w:rPr>
        <w:t>nonpharmacologic treatment</w:t>
      </w:r>
      <w:r w:rsidRPr="001462F3">
        <w:rPr>
          <w:rFonts w:ascii="Times New Roman" w:hAnsi="Times New Roman"/>
          <w:bCs/>
          <w:sz w:val="20"/>
          <w:szCs w:val="24"/>
        </w:rPr>
        <w:t xml:space="preserve">): </w:t>
      </w:r>
      <w:hyperlink r:id="rId5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http://ptjournal.apta.org/site/misc/consort_flow_diagram.pdf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Gátlisti: </w:t>
      </w:r>
      <w:hyperlink r:id="rId6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http://ptjournal.apta.org/site/misc/consort.pdf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Heading3"/>
      </w:pPr>
      <w:bookmarkStart w:id="2" w:name="_Toc350354450"/>
      <w:r w:rsidRPr="001462F3">
        <w:t>PRISMA</w:t>
      </w:r>
      <w:bookmarkEnd w:id="2"/>
    </w:p>
    <w:p w:rsidR="007169F3" w:rsidRPr="001462F3" w:rsidRDefault="007169F3" w:rsidP="007169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Gátlisti frá PRISMA (</w:t>
      </w:r>
      <w:r w:rsidRPr="001462F3">
        <w:rPr>
          <w:rFonts w:ascii="Times New Roman" w:hAnsi="Times New Roman"/>
          <w:bCs/>
          <w:i/>
          <w:sz w:val="20"/>
          <w:szCs w:val="24"/>
        </w:rPr>
        <w:t>Preferred Reporting Items for Systematic Reviews and Meta-Analyse</w:t>
      </w:r>
      <w:r w:rsidRPr="001462F3">
        <w:rPr>
          <w:rFonts w:ascii="Times New Roman" w:hAnsi="Times New Roman"/>
          <w:bCs/>
          <w:sz w:val="20"/>
          <w:szCs w:val="24"/>
        </w:rPr>
        <w:t xml:space="preserve">) fyrir kerfisbundin yfirlit og safngreiningar: </w:t>
      </w:r>
      <w:hyperlink r:id="rId7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http://ptjournal.apta.org/site/misc/prisma.pdf</w:t>
        </w:r>
      </w:hyperlink>
    </w:p>
    <w:p w:rsidR="007169F3" w:rsidRPr="001462F3" w:rsidRDefault="007169F3" w:rsidP="007169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Flæðirit: </w:t>
      </w:r>
      <w:hyperlink r:id="rId8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http://ptjournal.apta.org/site/misc/prisma_flow_diagram.pdf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Heading3"/>
      </w:pPr>
      <w:bookmarkStart w:id="3" w:name="_Toc350354451"/>
      <w:r w:rsidRPr="001462F3">
        <w:t>STARD</w:t>
      </w:r>
      <w:bookmarkEnd w:id="3"/>
    </w:p>
    <w:p w:rsidR="007169F3" w:rsidRPr="001462F3" w:rsidRDefault="007169F3" w:rsidP="007169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Gátlisti frá STARD hópnum (</w:t>
      </w:r>
      <w:r w:rsidRPr="00452466">
        <w:rPr>
          <w:rFonts w:ascii="Times New Roman" w:hAnsi="Times New Roman"/>
          <w:bCs/>
          <w:i/>
          <w:sz w:val="20"/>
          <w:szCs w:val="24"/>
        </w:rPr>
        <w:t>Studies of Diagnostic Accuracy</w:t>
      </w:r>
      <w:r w:rsidRPr="001462F3">
        <w:rPr>
          <w:rFonts w:ascii="Times New Roman" w:hAnsi="Times New Roman"/>
          <w:bCs/>
          <w:sz w:val="20"/>
          <w:szCs w:val="24"/>
        </w:rPr>
        <w:t xml:space="preserve">) fyrir rannsóknir á greiningarprófum: </w:t>
      </w:r>
      <w:hyperlink r:id="rId9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http://ptjournal.apta.org/site/misc/stard.pdf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Flæðirit: </w:t>
      </w:r>
      <w:hyperlink r:id="rId10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http://ptjournal.apta.org/site/misc/stard_flow_diagram.pdf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Heading3"/>
      </w:pPr>
      <w:bookmarkStart w:id="4" w:name="_Toc350354452"/>
      <w:r w:rsidRPr="001462F3">
        <w:t>STROBE</w:t>
      </w:r>
      <w:bookmarkEnd w:id="4"/>
    </w:p>
    <w:p w:rsidR="007169F3" w:rsidRPr="001462F3" w:rsidRDefault="007169F3" w:rsidP="007169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Sameinaður gátlisti frá STROBE (</w:t>
      </w:r>
      <w:r w:rsidRPr="00452466">
        <w:rPr>
          <w:rFonts w:ascii="Times New Roman" w:hAnsi="Times New Roman"/>
          <w:bCs/>
          <w:i/>
          <w:sz w:val="20"/>
          <w:szCs w:val="24"/>
        </w:rPr>
        <w:t>STrengthening the Reporting of OBservational studies in Epidemiology</w:t>
      </w:r>
      <w:r w:rsidRPr="001462F3">
        <w:rPr>
          <w:rFonts w:ascii="Times New Roman" w:hAnsi="Times New Roman"/>
          <w:bCs/>
          <w:sz w:val="20"/>
          <w:szCs w:val="24"/>
        </w:rPr>
        <w:t>) fyrir ferilrannsóknir (</w:t>
      </w:r>
      <w:r w:rsidRPr="001462F3">
        <w:rPr>
          <w:rFonts w:ascii="Times New Roman" w:hAnsi="Times New Roman"/>
          <w:bCs/>
          <w:i/>
          <w:sz w:val="20"/>
          <w:szCs w:val="24"/>
        </w:rPr>
        <w:t>cohort</w:t>
      </w:r>
      <w:r w:rsidRPr="001462F3">
        <w:rPr>
          <w:rFonts w:ascii="Times New Roman" w:hAnsi="Times New Roman"/>
          <w:bCs/>
          <w:sz w:val="20"/>
          <w:szCs w:val="24"/>
        </w:rPr>
        <w:t>), tilfella-viðmiðunar rannsóknir (</w:t>
      </w:r>
      <w:r w:rsidRPr="001462F3">
        <w:rPr>
          <w:rFonts w:ascii="Times New Roman" w:hAnsi="Times New Roman"/>
          <w:bCs/>
          <w:i/>
          <w:sz w:val="20"/>
          <w:szCs w:val="24"/>
        </w:rPr>
        <w:t>case-control</w:t>
      </w:r>
      <w:r w:rsidRPr="001462F3">
        <w:rPr>
          <w:rFonts w:ascii="Times New Roman" w:hAnsi="Times New Roman"/>
          <w:bCs/>
          <w:sz w:val="20"/>
          <w:szCs w:val="24"/>
        </w:rPr>
        <w:t>) og þversniðsrannsóknir (</w:t>
      </w:r>
      <w:r w:rsidRPr="001462F3">
        <w:rPr>
          <w:rFonts w:ascii="Times New Roman" w:hAnsi="Times New Roman"/>
          <w:bCs/>
          <w:i/>
          <w:sz w:val="20"/>
          <w:szCs w:val="24"/>
        </w:rPr>
        <w:t>cross-sectional</w:t>
      </w:r>
      <w:r w:rsidRPr="001462F3">
        <w:rPr>
          <w:rFonts w:ascii="Times New Roman" w:hAnsi="Times New Roman"/>
          <w:bCs/>
          <w:sz w:val="20"/>
          <w:szCs w:val="24"/>
        </w:rPr>
        <w:t xml:space="preserve">): </w:t>
      </w:r>
      <w:hyperlink r:id="rId11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http://ptjournal.apta.org/site/misc/strobe.pdf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Gátlisti fyrir ferilrannsóknir: </w:t>
      </w:r>
      <w:hyperlink r:id="rId12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http://ptjournal.apta.org/site/misc/cohort.pdf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Gátlisti fyrir tilfella-viðmiðunar rannsóknir: </w:t>
      </w:r>
      <w:hyperlink r:id="rId13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http://ptjournal.apta.org/site/misc/control.pdf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Gátlisti fyrir þversniðsrannsóknir: </w:t>
      </w:r>
      <w:hyperlink r:id="rId14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http://ptjournal.apta.org/site/misc/sectional.pdf</w:t>
        </w:r>
      </w:hyperlink>
    </w:p>
    <w:p w:rsidR="007169F3" w:rsidRPr="004B610D" w:rsidRDefault="007169F3" w:rsidP="007169F3">
      <w:pPr>
        <w:pStyle w:val="Heading3"/>
      </w:pPr>
      <w:bookmarkStart w:id="5" w:name="_Toc350354453"/>
      <w:r w:rsidRPr="004B610D">
        <w:t>QUALRES</w:t>
      </w:r>
      <w:bookmarkEnd w:id="5"/>
      <w:r w:rsidRPr="004B610D">
        <w:t xml:space="preserve"> </w:t>
      </w:r>
    </w:p>
    <w:p w:rsidR="007169F3" w:rsidRPr="004B610D" w:rsidRDefault="007169F3" w:rsidP="007169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4B610D">
        <w:rPr>
          <w:rFonts w:ascii="Times New Roman" w:hAnsi="Times New Roman"/>
          <w:bCs/>
          <w:sz w:val="20"/>
          <w:szCs w:val="24"/>
        </w:rPr>
        <w:t>Leiðbeiningar um eigindlegar rannsóknir frá QUALRES (</w:t>
      </w:r>
      <w:r w:rsidRPr="004B610D">
        <w:rPr>
          <w:rFonts w:ascii="Times New Roman" w:hAnsi="Times New Roman"/>
          <w:bCs/>
          <w:i/>
          <w:sz w:val="20"/>
          <w:szCs w:val="24"/>
        </w:rPr>
        <w:t>Qualitative Research Guidelines</w:t>
      </w:r>
      <w:r w:rsidRPr="004B610D">
        <w:rPr>
          <w:rFonts w:ascii="Times New Roman" w:hAnsi="Times New Roman"/>
          <w:bCs/>
          <w:sz w:val="20"/>
          <w:szCs w:val="24"/>
        </w:rPr>
        <w:t xml:space="preserve">) frá Robert Wood Johnson Foundation: </w:t>
      </w:r>
      <w:hyperlink r:id="rId15" w:history="1">
        <w:r w:rsidRPr="004B610D">
          <w:rPr>
            <w:rStyle w:val="Hyperlink"/>
            <w:rFonts w:ascii="Times New Roman" w:hAnsi="Times New Roman"/>
            <w:bCs/>
            <w:sz w:val="20"/>
            <w:szCs w:val="24"/>
          </w:rPr>
          <w:t>http://www.qualres.org/HomeGuid-3935.html</w:t>
        </w:r>
      </w:hyperlink>
      <w:r w:rsidRPr="004B610D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Heading3"/>
      </w:pPr>
      <w:bookmarkStart w:id="6" w:name="_Toc350354454"/>
      <w:r w:rsidRPr="00452466">
        <w:t>T</w:t>
      </w:r>
      <w:r>
        <w:t>ilfellarannsóknir</w:t>
      </w:r>
      <w:r w:rsidRPr="00452466">
        <w:t xml:space="preserve"> (</w:t>
      </w:r>
      <w:r>
        <w:rPr>
          <w:i/>
        </w:rPr>
        <w:t>case reports</w:t>
      </w:r>
      <w:r w:rsidRPr="00452466">
        <w:t>)</w:t>
      </w:r>
      <w:bookmarkEnd w:id="6"/>
    </w:p>
    <w:p w:rsidR="007169F3" w:rsidRPr="001462F3" w:rsidRDefault="007169F3" w:rsidP="007169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Gátlisti fyrir handrit um greiningu og horfur (</w:t>
      </w:r>
      <w:r w:rsidRPr="001462F3">
        <w:rPr>
          <w:rFonts w:ascii="Times New Roman" w:hAnsi="Times New Roman"/>
          <w:bCs/>
          <w:i/>
          <w:sz w:val="20"/>
          <w:szCs w:val="24"/>
        </w:rPr>
        <w:t>diagnosis and prognosis</w:t>
      </w:r>
      <w:r w:rsidRPr="001462F3">
        <w:rPr>
          <w:rFonts w:ascii="Times New Roman" w:hAnsi="Times New Roman"/>
          <w:bCs/>
          <w:sz w:val="20"/>
          <w:szCs w:val="24"/>
        </w:rPr>
        <w:t xml:space="preserve">): </w:t>
      </w:r>
      <w:hyperlink r:id="rId16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http://ptjournal.apta.org/site/misc/ifora_cr_checklist_diagnosis.xhtml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Gátlisti fyrir handrit um klínísk próf og mælingar (</w:t>
      </w:r>
      <w:r w:rsidRPr="001462F3">
        <w:rPr>
          <w:rFonts w:ascii="Times New Roman" w:hAnsi="Times New Roman"/>
          <w:bCs/>
          <w:i/>
          <w:sz w:val="20"/>
          <w:szCs w:val="24"/>
        </w:rPr>
        <w:t>clinical measurement</w:t>
      </w:r>
      <w:r w:rsidRPr="001462F3">
        <w:rPr>
          <w:rFonts w:ascii="Times New Roman" w:hAnsi="Times New Roman"/>
          <w:bCs/>
          <w:sz w:val="20"/>
          <w:szCs w:val="24"/>
        </w:rPr>
        <w:t xml:space="preserve">): </w:t>
      </w:r>
      <w:hyperlink r:id="rId17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http://ptjournal.apta.org/site/misc/ifora_cr_checklist_measurement.xhtml</w:t>
        </w:r>
      </w:hyperlink>
    </w:p>
    <w:p w:rsidR="007169F3" w:rsidRPr="001462F3" w:rsidRDefault="007169F3" w:rsidP="007169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Gátlisti fyrir handrit um meðferð/íhlutun (</w:t>
      </w:r>
      <w:r w:rsidRPr="001462F3">
        <w:rPr>
          <w:rFonts w:ascii="Times New Roman" w:hAnsi="Times New Roman"/>
          <w:bCs/>
          <w:i/>
          <w:sz w:val="20"/>
          <w:szCs w:val="24"/>
        </w:rPr>
        <w:t>intervention</w:t>
      </w:r>
      <w:r w:rsidRPr="001462F3">
        <w:rPr>
          <w:rFonts w:ascii="Times New Roman" w:hAnsi="Times New Roman"/>
          <w:bCs/>
          <w:sz w:val="20"/>
          <w:szCs w:val="24"/>
        </w:rPr>
        <w:t xml:space="preserve">): </w:t>
      </w:r>
      <w:hyperlink r:id="rId18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http://ptjournal.apta.org/site/misc/ifora_cr_checklist_intervention.xhtml</w:t>
        </w:r>
      </w:hyperlink>
    </w:p>
    <w:p w:rsidR="007169F3" w:rsidRPr="001462F3" w:rsidRDefault="007169F3" w:rsidP="007169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Gátlisti fyrir handrit um tengsl hugmyndafræði við störf: </w:t>
      </w:r>
      <w:hyperlink r:id="rId19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http://ptjournal.apta.org/site/misc/ifora_cr_checklist_theory.xhtml</w:t>
        </w:r>
      </w:hyperlink>
    </w:p>
    <w:p w:rsidR="007169F3" w:rsidRPr="001462F3" w:rsidRDefault="007169F3" w:rsidP="007169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Gátlisti fyrir handrit um áhættustjórnun (</w:t>
      </w:r>
      <w:r w:rsidRPr="001462F3">
        <w:rPr>
          <w:rFonts w:ascii="Times New Roman" w:hAnsi="Times New Roman"/>
          <w:bCs/>
          <w:i/>
          <w:sz w:val="20"/>
          <w:szCs w:val="24"/>
        </w:rPr>
        <w:t>risk management</w:t>
      </w:r>
      <w:r w:rsidRPr="001462F3">
        <w:rPr>
          <w:rFonts w:ascii="Times New Roman" w:hAnsi="Times New Roman"/>
          <w:bCs/>
          <w:sz w:val="20"/>
          <w:szCs w:val="24"/>
        </w:rPr>
        <w:t xml:space="preserve">): </w:t>
      </w:r>
      <w:hyperlink r:id="rId20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http://ptjournal.apta.org/site/misc/ifora_cr_checklist_risk.xhtml</w:t>
        </w:r>
      </w:hyperlink>
    </w:p>
    <w:p w:rsidR="007169F3" w:rsidRPr="001462F3" w:rsidRDefault="007169F3" w:rsidP="007169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 xml:space="preserve">Gátlisti fyrir handrit um stjórnun og menntun/fræðslu: </w:t>
      </w:r>
      <w:hyperlink r:id="rId21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http://ptjournal.apta.org/site/misc/ifora_cr_checklist_administrative.xhtml</w:t>
        </w:r>
      </w:hyperlink>
    </w:p>
    <w:p w:rsidR="007169F3" w:rsidRPr="001462F3" w:rsidRDefault="007169F3" w:rsidP="007169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  <w:r w:rsidRPr="001462F3">
        <w:rPr>
          <w:rFonts w:ascii="Times New Roman" w:hAnsi="Times New Roman"/>
          <w:bCs/>
          <w:sz w:val="20"/>
          <w:szCs w:val="24"/>
        </w:rPr>
        <w:t>Gátlisti fyrir</w:t>
      </w:r>
      <w:r>
        <w:rPr>
          <w:rFonts w:ascii="Times New Roman" w:hAnsi="Times New Roman"/>
          <w:bCs/>
          <w:sz w:val="20"/>
          <w:szCs w:val="24"/>
        </w:rPr>
        <w:t xml:space="preserve"> hefðbundnar tilfellarannsóknir</w:t>
      </w:r>
      <w:r w:rsidRPr="001462F3">
        <w:rPr>
          <w:rFonts w:ascii="Times New Roman" w:hAnsi="Times New Roman"/>
          <w:bCs/>
          <w:sz w:val="20"/>
          <w:szCs w:val="24"/>
        </w:rPr>
        <w:t xml:space="preserve">: </w:t>
      </w:r>
      <w:hyperlink r:id="rId22" w:history="1">
        <w:r w:rsidRPr="001462F3">
          <w:rPr>
            <w:rStyle w:val="Hyperlink"/>
            <w:rFonts w:ascii="Times New Roman" w:hAnsi="Times New Roman"/>
            <w:bCs/>
            <w:sz w:val="20"/>
            <w:szCs w:val="24"/>
          </w:rPr>
          <w:t>http://ptjournal.apta.org/site/misc/ifora_cr_checklist_full.xhtml</w:t>
        </w:r>
      </w:hyperlink>
      <w:r w:rsidRPr="001462F3">
        <w:rPr>
          <w:rFonts w:ascii="Times New Roman" w:hAnsi="Times New Roman"/>
          <w:bCs/>
          <w:sz w:val="20"/>
          <w:szCs w:val="24"/>
        </w:rPr>
        <w:t xml:space="preserve"> </w:t>
      </w:r>
    </w:p>
    <w:p w:rsidR="007169F3" w:rsidRPr="001462F3" w:rsidRDefault="007169F3" w:rsidP="00716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7169F3" w:rsidRPr="001462F3" w:rsidRDefault="007169F3" w:rsidP="007169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</w:rPr>
      </w:pPr>
    </w:p>
    <w:p w:rsidR="007169F3" w:rsidRPr="001462F3" w:rsidRDefault="007169F3" w:rsidP="007169F3">
      <w:pPr>
        <w:spacing w:after="0" w:line="240" w:lineRule="auto"/>
        <w:rPr>
          <w:rFonts w:ascii="Times New Roman" w:hAnsi="Times New Roman"/>
          <w:bCs/>
        </w:rPr>
      </w:pPr>
    </w:p>
    <w:p w:rsidR="00EF5634" w:rsidRDefault="00EF5634" w:rsidP="007169F3">
      <w:bookmarkStart w:id="7" w:name="_GoBack"/>
      <w:bookmarkEnd w:id="7"/>
    </w:p>
    <w:sectPr w:rsidR="00EF5634" w:rsidSect="0025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7DA"/>
    <w:multiLevelType w:val="hybridMultilevel"/>
    <w:tmpl w:val="5B30D0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E3E"/>
    <w:multiLevelType w:val="hybridMultilevel"/>
    <w:tmpl w:val="3F0077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1822"/>
    <w:multiLevelType w:val="hybridMultilevel"/>
    <w:tmpl w:val="EBB409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321C5"/>
    <w:multiLevelType w:val="hybridMultilevel"/>
    <w:tmpl w:val="6A5CA7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76B4"/>
    <w:multiLevelType w:val="hybridMultilevel"/>
    <w:tmpl w:val="2E2C9E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D6061"/>
    <w:multiLevelType w:val="hybridMultilevel"/>
    <w:tmpl w:val="83D853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69F3"/>
    <w:rsid w:val="00252ED2"/>
    <w:rsid w:val="007169F3"/>
    <w:rsid w:val="00EF5634"/>
    <w:rsid w:val="00F5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F3"/>
    <w:rPr>
      <w:rFonts w:eastAsiaTheme="minorEastAsia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9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9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9F3"/>
    <w:rPr>
      <w:rFonts w:asciiTheme="majorHAnsi" w:eastAsiaTheme="majorEastAsia" w:hAnsiTheme="majorHAnsi" w:cstheme="majorBidi"/>
      <w:b/>
      <w:bCs/>
      <w:sz w:val="28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169F3"/>
    <w:rPr>
      <w:rFonts w:asciiTheme="majorHAnsi" w:eastAsiaTheme="majorEastAsia" w:hAnsiTheme="majorHAnsi" w:cstheme="majorBidi"/>
      <w:b/>
      <w:bCs/>
      <w:sz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716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F3"/>
    <w:rPr>
      <w:rFonts w:eastAsiaTheme="minorEastAsia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9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9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9F3"/>
    <w:rPr>
      <w:rFonts w:asciiTheme="majorHAnsi" w:eastAsiaTheme="majorEastAsia" w:hAnsiTheme="majorHAnsi" w:cstheme="majorBidi"/>
      <w:b/>
      <w:bCs/>
      <w:sz w:val="28"/>
      <w:szCs w:val="2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169F3"/>
    <w:rPr>
      <w:rFonts w:asciiTheme="majorHAnsi" w:eastAsiaTheme="majorEastAsia" w:hAnsiTheme="majorHAnsi" w:cstheme="majorBidi"/>
      <w:b/>
      <w:bCs/>
      <w:sz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716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journal.apta.org/site/misc/prisma_flow_diagram.pdf" TargetMode="External"/><Relationship Id="rId13" Type="http://schemas.openxmlformats.org/officeDocument/2006/relationships/hyperlink" Target="http://ptjournal.apta.org/site/misc/control.pdf" TargetMode="External"/><Relationship Id="rId18" Type="http://schemas.openxmlformats.org/officeDocument/2006/relationships/hyperlink" Target="http://ptjournal.apta.org/site/misc/ifora_cr_checklist_intervention.x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tjournal.apta.org/site/misc/ifora_cr_checklist_administrative.xhtml" TargetMode="External"/><Relationship Id="rId7" Type="http://schemas.openxmlformats.org/officeDocument/2006/relationships/hyperlink" Target="http://ptjournal.apta.org/site/misc/prisma.pdf" TargetMode="External"/><Relationship Id="rId12" Type="http://schemas.openxmlformats.org/officeDocument/2006/relationships/hyperlink" Target="http://ptjournal.apta.org/site/misc/cohort.pdf" TargetMode="External"/><Relationship Id="rId17" Type="http://schemas.openxmlformats.org/officeDocument/2006/relationships/hyperlink" Target="http://ptjournal.apta.org/site/misc/ifora_cr_checklist_measurement.x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tjournal.apta.org/site/misc/ifora_cr_checklist_diagnosis.xhtml" TargetMode="External"/><Relationship Id="rId20" Type="http://schemas.openxmlformats.org/officeDocument/2006/relationships/hyperlink" Target="http://ptjournal.apta.org/site/misc/ifora_cr_checklist_risk.x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journal.apta.org/site/misc/consort.pdf" TargetMode="External"/><Relationship Id="rId11" Type="http://schemas.openxmlformats.org/officeDocument/2006/relationships/hyperlink" Target="http://ptjournal.apta.org/site/misc/strobe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tjournal.apta.org/site/misc/consort_flow_diagram.pdf" TargetMode="External"/><Relationship Id="rId15" Type="http://schemas.openxmlformats.org/officeDocument/2006/relationships/hyperlink" Target="http://www.qualres.org/HomeGuid-393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tjournal.apta.org/site/misc/stard_flow_diagram.pdf" TargetMode="External"/><Relationship Id="rId19" Type="http://schemas.openxmlformats.org/officeDocument/2006/relationships/hyperlink" Target="http://ptjournal.apta.org/site/misc/ifora_cr_checklist_theory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journal.apta.org/site/misc/stard.pdf" TargetMode="External"/><Relationship Id="rId14" Type="http://schemas.openxmlformats.org/officeDocument/2006/relationships/hyperlink" Target="http://ptjournal.apta.org/site/misc/sectional.pdf" TargetMode="External"/><Relationship Id="rId22" Type="http://schemas.openxmlformats.org/officeDocument/2006/relationships/hyperlink" Target="http://ptjournal.apta.org/site/misc/ifora_cr_checklist_full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2013-12-06T09:15:00Z</dcterms:created>
  <dcterms:modified xsi:type="dcterms:W3CDTF">2013-12-06T09:15:00Z</dcterms:modified>
</cp:coreProperties>
</file>